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部门评价报告</w:t>
      </w: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680" w:lineRule="exact"/>
        <w:jc w:val="left"/>
        <w:rPr>
          <w:rFonts w:hint="eastAsia" w:ascii="仿宋_GB2312" w:hAnsi="仿宋" w:eastAsia="仿宋_GB2312" w:cs="仿宋"/>
          <w:sz w:val="28"/>
          <w:szCs w:val="32"/>
          <w:u w:val="single"/>
        </w:rPr>
      </w:pPr>
      <w:r>
        <w:rPr>
          <w:rFonts w:hint="eastAsia" w:ascii="仿宋_GB2312" w:hAnsi="仿宋" w:eastAsia="仿宋_GB2312" w:cs="仿宋"/>
          <w:szCs w:val="32"/>
        </w:rPr>
        <w:t xml:space="preserve">         </w:t>
      </w:r>
      <w:r>
        <w:rPr>
          <w:rFonts w:hint="eastAsia" w:ascii="仿宋_GB2312" w:hAnsi="仿宋" w:eastAsia="仿宋_GB2312" w:cs="仿宋"/>
          <w:sz w:val="28"/>
          <w:szCs w:val="32"/>
        </w:rPr>
        <w:t>评价类型：</w:t>
      </w:r>
      <w:r>
        <w:rPr>
          <w:rFonts w:hint="eastAsia" w:ascii="仿宋_GB2312" w:hAnsi="仿宋" w:eastAsia="仿宋_GB2312" w:cs="仿宋"/>
          <w:spacing w:val="-20"/>
          <w:sz w:val="28"/>
          <w:szCs w:val="32"/>
          <w:u w:val="single"/>
        </w:rPr>
        <w:t>□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>实施过程评价</w:t>
      </w:r>
      <w:r>
        <w:rPr>
          <w:rFonts w:hint="eastAsia" w:ascii="仿宋_GB2312" w:hAnsi="仿宋" w:eastAsia="仿宋_GB2312" w:cs="仿宋"/>
          <w:sz w:val="28"/>
          <w:szCs w:val="32"/>
        </w:rPr>
        <w:t xml:space="preserve">          </w:t>
      </w:r>
      <w:r>
        <w:rPr>
          <w:rFonts w:hint="eastAsia" w:ascii="仿宋_GB2312" w:hAnsi="仿宋" w:eastAsia="仿宋_GB2312" w:cs="仿宋"/>
          <w:spacing w:val="-20"/>
          <w:sz w:val="28"/>
          <w:szCs w:val="32"/>
          <w:u w:val="single"/>
        </w:rPr>
        <w:sym w:font="Wingdings 2" w:char="0052"/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>完成结果评价</w:t>
      </w:r>
    </w:p>
    <w:p>
      <w:pPr>
        <w:spacing w:line="68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  <w:r>
        <w:rPr>
          <w:rFonts w:hint="eastAsia" w:ascii="仿宋_GB2312" w:hAnsi="仿宋" w:eastAsia="仿宋_GB2312" w:cs="仿宋"/>
          <w:sz w:val="28"/>
          <w:szCs w:val="32"/>
        </w:rPr>
        <w:t xml:space="preserve">       项目名称： 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>自然保护地及野生动植物保护救助工作经费</w:t>
      </w:r>
    </w:p>
    <w:p>
      <w:pPr>
        <w:spacing w:line="680" w:lineRule="exact"/>
        <w:jc w:val="left"/>
        <w:rPr>
          <w:rFonts w:hint="eastAsia" w:ascii="仿宋_GB2312" w:hAnsi="仿宋" w:eastAsia="仿宋_GB2312" w:cs="仿宋"/>
          <w:sz w:val="28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32"/>
        </w:rPr>
        <w:t xml:space="preserve">       项目单位： 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8"/>
          <w:szCs w:val="32"/>
          <w:u w:val="single"/>
          <w:lang w:eastAsia="zh-CN"/>
        </w:rPr>
        <w:t>宜春市林业局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8"/>
          <w:szCs w:val="32"/>
          <w:u w:val="single"/>
          <w:lang w:val="en-US" w:eastAsia="zh-CN"/>
        </w:rPr>
        <w:t xml:space="preserve"> </w:t>
      </w:r>
    </w:p>
    <w:p>
      <w:pPr>
        <w:spacing w:line="68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  <w:r>
        <w:rPr>
          <w:rFonts w:hint="eastAsia" w:ascii="仿宋_GB2312" w:hAnsi="仿宋" w:eastAsia="仿宋_GB2312" w:cs="仿宋"/>
          <w:sz w:val="28"/>
          <w:szCs w:val="32"/>
        </w:rPr>
        <w:t xml:space="preserve">       主管部门： 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8"/>
          <w:szCs w:val="32"/>
          <w:u w:val="single"/>
          <w:lang w:eastAsia="zh-CN"/>
        </w:rPr>
        <w:t>宜春市林业局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8"/>
          <w:szCs w:val="32"/>
        </w:rPr>
        <w:t xml:space="preserve"> </w:t>
      </w:r>
    </w:p>
    <w:p>
      <w:pPr>
        <w:spacing w:line="68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  <w:r>
        <w:rPr>
          <w:rFonts w:hint="eastAsia" w:ascii="仿宋_GB2312" w:hAnsi="仿宋" w:eastAsia="仿宋_GB2312" w:cs="仿宋"/>
          <w:sz w:val="28"/>
          <w:szCs w:val="32"/>
        </w:rPr>
        <w:t xml:space="preserve">       评价时间： 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32"/>
          <w:u w:val="single"/>
          <w:lang w:val="en-US" w:eastAsia="zh-CN"/>
        </w:rPr>
        <w:t xml:space="preserve">2022 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 xml:space="preserve">年 </w:t>
      </w:r>
      <w:r>
        <w:rPr>
          <w:rFonts w:hint="eastAsia" w:ascii="仿宋_GB2312" w:hAnsi="仿宋" w:eastAsia="仿宋_GB2312" w:cs="仿宋"/>
          <w:sz w:val="28"/>
          <w:szCs w:val="32"/>
          <w:u w:val="single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 xml:space="preserve"> 月</w:t>
      </w:r>
      <w:r>
        <w:rPr>
          <w:rFonts w:hint="eastAsia" w:ascii="仿宋_GB2312" w:hAnsi="仿宋" w:eastAsia="仿宋_GB2312" w:cs="仿宋"/>
          <w:sz w:val="28"/>
          <w:szCs w:val="32"/>
          <w:u w:val="single"/>
          <w:lang w:val="en-US" w:eastAsia="zh-CN"/>
        </w:rPr>
        <w:t xml:space="preserve"> 7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>日至</w:t>
      </w:r>
      <w:r>
        <w:rPr>
          <w:rFonts w:hint="eastAsia" w:ascii="仿宋_GB2312" w:hAnsi="仿宋" w:eastAsia="仿宋_GB2312" w:cs="仿宋"/>
          <w:sz w:val="28"/>
          <w:szCs w:val="32"/>
          <w:u w:val="single"/>
          <w:lang w:val="en-US" w:eastAsia="zh-CN"/>
        </w:rPr>
        <w:t xml:space="preserve"> 2022 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 xml:space="preserve">年 </w:t>
      </w:r>
      <w:r>
        <w:rPr>
          <w:rFonts w:hint="eastAsia" w:ascii="仿宋_GB2312" w:hAnsi="仿宋" w:eastAsia="仿宋_GB2312" w:cs="仿宋"/>
          <w:sz w:val="28"/>
          <w:szCs w:val="32"/>
          <w:u w:val="single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 xml:space="preserve"> 月</w:t>
      </w:r>
      <w:r>
        <w:rPr>
          <w:rFonts w:hint="eastAsia" w:ascii="仿宋_GB2312" w:hAnsi="仿宋" w:eastAsia="仿宋_GB2312" w:cs="仿宋"/>
          <w:sz w:val="28"/>
          <w:szCs w:val="32"/>
          <w:u w:val="single"/>
          <w:lang w:val="en-US" w:eastAsia="zh-CN"/>
        </w:rPr>
        <w:t xml:space="preserve"> 11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>日</w:t>
      </w:r>
    </w:p>
    <w:p>
      <w:pPr>
        <w:spacing w:line="680" w:lineRule="exact"/>
        <w:jc w:val="left"/>
        <w:rPr>
          <w:rFonts w:hint="eastAsia" w:ascii="仿宋_GB2312" w:hAnsi="仿宋" w:eastAsia="仿宋_GB2312" w:cs="仿宋"/>
          <w:sz w:val="28"/>
          <w:szCs w:val="32"/>
          <w:u w:val="single"/>
        </w:rPr>
      </w:pPr>
      <w:r>
        <w:rPr>
          <w:rFonts w:hint="eastAsia" w:ascii="仿宋_GB2312" w:hAnsi="仿宋" w:eastAsia="仿宋_GB2312" w:cs="仿宋"/>
          <w:sz w:val="28"/>
          <w:szCs w:val="32"/>
        </w:rPr>
        <w:t xml:space="preserve">       组织方式：</w:t>
      </w:r>
      <w:r>
        <w:rPr>
          <w:rFonts w:hint="eastAsia" w:ascii="仿宋_GB2312" w:hAnsi="仿宋" w:eastAsia="仿宋_GB2312" w:cs="仿宋"/>
          <w:spacing w:val="-20"/>
          <w:sz w:val="28"/>
          <w:szCs w:val="32"/>
          <w:u w:val="single"/>
        </w:rPr>
        <w:t>□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 xml:space="preserve">财政部门 </w:t>
      </w:r>
      <w:r>
        <w:rPr>
          <w:rFonts w:hint="eastAsia" w:ascii="仿宋_GB2312" w:hAnsi="仿宋" w:eastAsia="仿宋_GB2312" w:cs="仿宋"/>
          <w:sz w:val="28"/>
          <w:szCs w:val="32"/>
        </w:rPr>
        <w:t xml:space="preserve">    </w:t>
      </w:r>
      <w:r>
        <w:rPr>
          <w:rFonts w:hint="eastAsia" w:ascii="仿宋_GB2312" w:hAnsi="仿宋" w:eastAsia="仿宋_GB2312" w:cs="仿宋"/>
          <w:spacing w:val="-20"/>
          <w:sz w:val="28"/>
          <w:szCs w:val="32"/>
          <w:u w:val="single"/>
        </w:rPr>
        <w:sym w:font="Wingdings 2" w:char="0052"/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>主管部门</w:t>
      </w:r>
      <w:r>
        <w:rPr>
          <w:rFonts w:hint="eastAsia" w:ascii="仿宋_GB2312" w:hAnsi="仿宋" w:eastAsia="仿宋_GB2312" w:cs="仿宋"/>
          <w:sz w:val="28"/>
          <w:szCs w:val="32"/>
        </w:rPr>
        <w:t xml:space="preserve">     </w:t>
      </w:r>
      <w:r>
        <w:rPr>
          <w:rFonts w:hint="eastAsia" w:ascii="仿宋_GB2312" w:hAnsi="仿宋" w:eastAsia="仿宋_GB2312" w:cs="仿宋"/>
          <w:spacing w:val="-20"/>
          <w:sz w:val="28"/>
          <w:szCs w:val="32"/>
          <w:u w:val="single"/>
        </w:rPr>
        <w:t>□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>项目单位</w:t>
      </w:r>
    </w:p>
    <w:p>
      <w:pPr>
        <w:spacing w:line="680" w:lineRule="exact"/>
        <w:jc w:val="left"/>
        <w:rPr>
          <w:rFonts w:hint="eastAsia" w:ascii="仿宋_GB2312" w:hAnsi="仿宋" w:eastAsia="仿宋_GB2312" w:cs="仿宋"/>
          <w:sz w:val="28"/>
          <w:szCs w:val="32"/>
        </w:rPr>
      </w:pPr>
      <w:r>
        <w:rPr>
          <w:rFonts w:hint="eastAsia" w:ascii="仿宋_GB2312" w:hAnsi="仿宋" w:eastAsia="仿宋_GB2312" w:cs="仿宋"/>
          <w:sz w:val="28"/>
          <w:szCs w:val="32"/>
        </w:rPr>
        <w:t xml:space="preserve">       评价机构：</w:t>
      </w:r>
      <w:r>
        <w:rPr>
          <w:rFonts w:hint="eastAsia" w:ascii="仿宋_GB2312" w:hAnsi="仿宋" w:eastAsia="仿宋_GB2312" w:cs="仿宋"/>
          <w:spacing w:val="-20"/>
          <w:sz w:val="28"/>
          <w:szCs w:val="32"/>
          <w:u w:val="single"/>
        </w:rPr>
        <w:t>□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 xml:space="preserve">第三方机构 </w:t>
      </w:r>
      <w:r>
        <w:rPr>
          <w:rFonts w:hint="eastAsia" w:ascii="仿宋_GB2312" w:hAnsi="仿宋" w:eastAsia="仿宋_GB2312" w:cs="仿宋"/>
          <w:sz w:val="28"/>
          <w:szCs w:val="32"/>
        </w:rPr>
        <w:t xml:space="preserve">  </w:t>
      </w:r>
      <w:r>
        <w:rPr>
          <w:rFonts w:hint="eastAsia" w:ascii="仿宋_GB2312" w:hAnsi="仿宋" w:eastAsia="仿宋_GB2312" w:cs="仿宋"/>
          <w:spacing w:val="-20"/>
          <w:sz w:val="28"/>
          <w:szCs w:val="32"/>
          <w:u w:val="single"/>
        </w:rPr>
        <w:t>□</w:t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 xml:space="preserve">专家组 </w:t>
      </w:r>
      <w:r>
        <w:rPr>
          <w:rFonts w:hint="eastAsia" w:ascii="仿宋_GB2312" w:hAnsi="仿宋" w:eastAsia="仿宋_GB2312" w:cs="仿宋"/>
          <w:sz w:val="28"/>
          <w:szCs w:val="32"/>
        </w:rPr>
        <w:t xml:space="preserve">  </w:t>
      </w:r>
      <w:r>
        <w:rPr>
          <w:rFonts w:hint="eastAsia" w:ascii="仿宋_GB2312" w:hAnsi="仿宋" w:eastAsia="仿宋_GB2312" w:cs="仿宋"/>
          <w:spacing w:val="-20"/>
          <w:sz w:val="28"/>
          <w:szCs w:val="32"/>
          <w:u w:val="single"/>
        </w:rPr>
        <w:sym w:font="Wingdings 2" w:char="0052"/>
      </w:r>
      <w:r>
        <w:rPr>
          <w:rFonts w:hint="eastAsia" w:ascii="仿宋_GB2312" w:hAnsi="仿宋" w:eastAsia="仿宋_GB2312" w:cs="仿宋"/>
          <w:sz w:val="28"/>
          <w:szCs w:val="32"/>
          <w:u w:val="single"/>
        </w:rPr>
        <w:t>项目单位评价组</w:t>
      </w:r>
    </w:p>
    <w:p>
      <w:pPr>
        <w:spacing w:line="578" w:lineRule="exact"/>
        <w:ind w:left="1050" w:hanging="1050" w:hangingChars="500"/>
        <w:rPr>
          <w:rFonts w:hint="eastAsia" w:ascii="仿宋_GB2312" w:hAnsi="仿宋" w:eastAsia="仿宋_GB2312" w:cs="仿宋"/>
          <w:szCs w:val="32"/>
        </w:rPr>
      </w:pPr>
    </w:p>
    <w:p>
      <w:pPr>
        <w:spacing w:line="578" w:lineRule="exact"/>
        <w:rPr>
          <w:rFonts w:hint="eastAsia" w:ascii="仿宋_GB2312" w:hAnsi="仿宋" w:eastAsia="仿宋_GB2312" w:cs="仿宋"/>
          <w:szCs w:val="32"/>
        </w:rPr>
      </w:pPr>
    </w:p>
    <w:p>
      <w:pPr>
        <w:spacing w:line="578" w:lineRule="exact"/>
        <w:ind w:left="1050" w:hanging="1050" w:hangingChars="500"/>
        <w:rPr>
          <w:rFonts w:hint="eastAsia" w:ascii="仿宋_GB2312" w:hAnsi="仿宋" w:eastAsia="仿宋_GB2312" w:cs="仿宋"/>
          <w:szCs w:val="32"/>
        </w:rPr>
      </w:pPr>
    </w:p>
    <w:p>
      <w:pPr>
        <w:spacing w:line="578" w:lineRule="exact"/>
        <w:ind w:left="1050" w:hanging="1050" w:hangingChars="500"/>
        <w:rPr>
          <w:rFonts w:hint="eastAsia" w:ascii="仿宋_GB2312" w:hAnsi="仿宋" w:eastAsia="仿宋_GB2312" w:cs="仿宋"/>
          <w:sz w:val="28"/>
          <w:szCs w:val="32"/>
        </w:rPr>
      </w:pPr>
      <w:r>
        <w:rPr>
          <w:rFonts w:hint="eastAsia" w:ascii="仿宋_GB2312" w:hAnsi="仿宋" w:eastAsia="仿宋_GB2312" w:cs="仿宋"/>
          <w:szCs w:val="32"/>
        </w:rPr>
        <w:t xml:space="preserve">         </w:t>
      </w:r>
      <w:r>
        <w:rPr>
          <w:rFonts w:hint="eastAsia" w:ascii="仿宋_GB2312" w:hAnsi="仿宋" w:eastAsia="仿宋_GB2312" w:cs="仿宋"/>
          <w:sz w:val="28"/>
          <w:szCs w:val="32"/>
        </w:rPr>
        <w:t>评价单位（盖章）：</w:t>
      </w:r>
    </w:p>
    <w:p>
      <w:pPr>
        <w:spacing w:line="578" w:lineRule="exact"/>
        <w:ind w:left="1400" w:hanging="1400" w:hangingChars="500"/>
        <w:rPr>
          <w:rFonts w:hint="default" w:ascii="仿宋_GB2312" w:hAnsi="仿宋" w:eastAsia="仿宋_GB2312" w:cs="仿宋"/>
          <w:sz w:val="28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32"/>
        </w:rPr>
        <w:t xml:space="preserve">           上报时间：</w:t>
      </w:r>
      <w:r>
        <w:rPr>
          <w:rFonts w:hint="eastAsia" w:ascii="仿宋_GB2312" w:hAnsi="仿宋" w:eastAsia="仿宋_GB2312" w:cs="仿宋"/>
          <w:sz w:val="28"/>
          <w:szCs w:val="32"/>
          <w:lang w:val="en-US" w:eastAsia="zh-CN"/>
        </w:rPr>
        <w:t>2022年3月15日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Cs w:val="32"/>
        </w:rPr>
      </w:pPr>
    </w:p>
    <w:p>
      <w:pPr>
        <w:rPr>
          <w:rFonts w:hint="eastAsia" w:ascii="仿宋" w:hAnsi="仿宋" w:eastAsia="仿宋" w:cs="仿宋"/>
          <w:szCs w:val="32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楷体_GB2312" w:hAnsi="楷体_GB2312" w:eastAsia="楷体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部门评价报告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pacing w:line="540" w:lineRule="exact"/>
        <w:ind w:firstLine="643" w:firstLineChars="200"/>
        <w:outlineLvl w:val="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（一）项目概况</w:t>
      </w:r>
    </w:p>
    <w:p>
      <w:pPr>
        <w:pStyle w:val="7"/>
        <w:rPr>
          <w:rFonts w:hint="eastAsia" w:ascii="方正仿宋_GB2312" w:hAnsi="方正仿宋_GB2312" w:eastAsia="方正仿宋_GB2312" w:cs="方正仿宋_GB2312"/>
          <w:sz w:val="30"/>
          <w:szCs w:val="30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highlight w:val="none"/>
          <w:lang w:eastAsia="zh-CN"/>
        </w:rPr>
        <w:t>宜春市林业局负有全市的陆生野生动植物资源和森林、湿地、草地资源监督管理职能。为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highlight w:val="none"/>
          <w:lang w:val="en-US" w:eastAsia="zh-CN"/>
        </w:rPr>
        <w:t>落实《宜春市重大野生动物疫源疫病防治应急预案》对野生动物管控的“三必须三到位”要求，对野生动物人工繁育和经营利用场所持续开展清查行动。结合“世界湿地日”、“世界野生动植物日”、“爱鸟周”等宣传活动，采取各种形式，密集宣传《全国人民代表大会常务委员会关于全面禁止非法野生动物交易、革除滥食野生动物陋习、切实保障人民群众生命健康安全的决定》以及野生动物保护有关法律法规，加强野生动物食用健康风险提示。持续了解养殖户思想动态，及时沟通和政策宣教，妥善做好养殖户稳控工作。对全市6个自然保护区，11个湿地公园，19个森林公园等重点区域进行拉网式排查，确保涉林重点区域做到全覆盖、无死角、不遗漏。开展湿地保护专项行动，加强湿地保护宣传工作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（二）项目绩效目标</w:t>
      </w:r>
    </w:p>
    <w:p>
      <w:pPr>
        <w:pStyle w:val="7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highlight w:val="none"/>
          <w:lang w:val="en-US" w:eastAsia="zh-CN"/>
        </w:rPr>
        <w:t>坚持“问题”导向，把握“保护”核心，强化“服务”理念，高质高效完成全市野生动植物保护和自然保护地管理工作任务。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（一）绩效评价目的、对象和范围</w:t>
      </w:r>
    </w:p>
    <w:p>
      <w:pPr>
        <w:pStyle w:val="7"/>
        <w:rPr>
          <w:rFonts w:hint="eastAsia" w:eastAsia="仿宋_GB2312"/>
          <w:u w:val="none"/>
          <w:lang w:eastAsia="zh-CN"/>
        </w:rPr>
      </w:pPr>
      <w:r>
        <w:rPr>
          <w:rFonts w:hint="eastAsia"/>
          <w:lang w:eastAsia="zh-CN"/>
        </w:rPr>
        <w:t>绩效评价目的：严格执行《预算法》，强化支出责任，</w:t>
      </w:r>
      <w:r>
        <w:rPr>
          <w:rFonts w:hint="eastAsia"/>
          <w:u w:val="none"/>
          <w:lang w:eastAsia="zh-CN"/>
        </w:rPr>
        <w:t>提高</w:t>
      </w:r>
      <w:r>
        <w:rPr>
          <w:rFonts w:hint="eastAsia" w:ascii="仿宋_GB2312" w:hAnsi="仿宋" w:eastAsia="仿宋_GB2312" w:cs="仿宋"/>
          <w:sz w:val="28"/>
          <w:szCs w:val="32"/>
          <w:u w:val="none"/>
        </w:rPr>
        <w:t>自然保护地及野生动植物保护救助</w:t>
      </w:r>
      <w:r>
        <w:rPr>
          <w:rFonts w:hint="eastAsia" w:hAnsi="仿宋" w:cs="仿宋"/>
          <w:sz w:val="28"/>
          <w:szCs w:val="32"/>
          <w:u w:val="none"/>
          <w:lang w:eastAsia="zh-CN"/>
        </w:rPr>
        <w:t>资金使用效益，对自然保护地及野生动植物保护救助工作支出情况开展绩效评价，践行“花钱必问效，无效必问责”的相关要求。</w:t>
      </w:r>
    </w:p>
    <w:p>
      <w:pPr>
        <w:pStyle w:val="7"/>
        <w:rPr>
          <w:rFonts w:hint="eastAsia"/>
          <w:u w:val="none"/>
          <w:lang w:eastAsia="zh-CN"/>
        </w:rPr>
      </w:pPr>
      <w:r>
        <w:rPr>
          <w:rFonts w:hint="eastAsia"/>
          <w:u w:val="none"/>
          <w:lang w:eastAsia="zh-CN"/>
        </w:rPr>
        <w:t>评价对象：宜春市林业局本级</w:t>
      </w:r>
    </w:p>
    <w:p>
      <w:pPr>
        <w:pStyle w:val="7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绩效评价范围：</w:t>
      </w:r>
      <w:r>
        <w:rPr>
          <w:rFonts w:hint="eastAsia"/>
          <w:lang w:val="en-US" w:eastAsia="zh-CN"/>
        </w:rPr>
        <w:t>2021年1月1日至2021年12月31日项目资金使用情况。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（二）绩效评价原则、评价指标体系（附表说明）、评价方法、评价标准等</w:t>
      </w:r>
    </w:p>
    <w:p>
      <w:pPr>
        <w:pStyle w:val="7"/>
        <w:rPr>
          <w:rFonts w:hint="eastAsia"/>
        </w:rPr>
      </w:pPr>
      <w:r>
        <w:rPr>
          <w:rFonts w:hint="eastAsia"/>
          <w:lang w:eastAsia="zh-CN"/>
        </w:rPr>
        <w:t>本着客观公正和有效性原则，按照设定的指标体系，由局专门部门绩效评价小组组织评价，根据项目资金使用实际情况进行打分，由项目负责人进行梳理并整改。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（三）绩效评价工作过程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1.前期准备，我局成立了专门的部门绩效评价小组，学习评价指标体系和绩效相关文件通知。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2.组织实施，按照规定的工作程序组织绩效评价自评，注重评价质量，撰写绩效评价报告。</w:t>
      </w:r>
    </w:p>
    <w:p>
      <w:pPr>
        <w:pStyle w:val="7"/>
        <w:rPr>
          <w:rFonts w:hint="eastAsia" w:ascii="黑体" w:hAnsi="黑体" w:eastAsia="黑体"/>
          <w:sz w:val="32"/>
          <w:szCs w:val="32"/>
        </w:rPr>
      </w:pPr>
      <w:r>
        <w:rPr>
          <w:rFonts w:hint="eastAsia"/>
          <w:lang w:val="en-US" w:eastAsia="zh-CN"/>
        </w:rPr>
        <w:t>3.分析评价，对评价结果进行整改，充分运用分析评价引领。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三、综合评价情况及评价结论（附相关评分表）</w:t>
      </w:r>
    </w:p>
    <w:p>
      <w:pPr>
        <w:pStyle w:val="7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根据评价指标逐项，综合评价得分：</w:t>
      </w:r>
      <w:r>
        <w:rPr>
          <w:rFonts w:hint="eastAsia"/>
          <w:lang w:val="en-US" w:eastAsia="zh-CN"/>
        </w:rPr>
        <w:t>99分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spacing w:line="540" w:lineRule="exact"/>
        <w:ind w:firstLine="643" w:firstLineChars="200"/>
        <w:outlineLvl w:val="0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（一）项目决策情况</w:t>
      </w:r>
    </w:p>
    <w:p>
      <w:pPr>
        <w:pStyle w:val="7"/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资金于</w:t>
      </w:r>
      <w:r>
        <w:rPr>
          <w:rFonts w:hint="eastAsia"/>
          <w:lang w:val="en-US" w:eastAsia="zh-CN"/>
        </w:rPr>
        <w:t>2021年1月份已全部到位，未影响项目实施，项目资金使用合规，无截留、挪用等现象，资金使用效益明显。专项立项依据充分，有资金管理办法，资金管理办法较规范。</w:t>
      </w:r>
    </w:p>
    <w:p>
      <w:pPr>
        <w:spacing w:line="540" w:lineRule="exact"/>
        <w:ind w:firstLine="643" w:firstLineChars="200"/>
        <w:outlineLvl w:val="0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（二）项目过程情况</w:t>
      </w:r>
    </w:p>
    <w:p>
      <w:pPr>
        <w:pStyle w:val="7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项目组织有计划有措施，严格执行相关制度和文件规定，顺利完成项目预期目标；领导重视，专人管理，责任明确。</w:t>
      </w:r>
    </w:p>
    <w:p>
      <w:pPr>
        <w:spacing w:line="540" w:lineRule="exact"/>
        <w:ind w:firstLine="643" w:firstLineChars="200"/>
        <w:outlineLvl w:val="0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（三）项目产出情况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1.落实《宜春市重大野生动物疫源疫病防治应急预案》对野生动物管控的“三必须三到位”要求，对野生动物人工繁育和经营利用场所持续开展清查行动。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结合“世界湿地日”、“世界野生动植物日”、“爱鸟周”等宣传活动，采取各种形式，密集宣传《全国人民代表大会常务委员会关于全面禁止非法野生动物交易、革除滥食野生动物陋习、切实保障人民群众生命健康安全的决定》以及野生动物保护有关法律法规，加强野生动物食用健康风险提示。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3.持续了解养殖户思想动态，及时沟通和政策宣教，妥善做好养殖户稳控工作。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4.对全市6个自然保护区，11个湿地公园，19个森林公园等重点区域进行拉网式排查，确保涉林重点区域做到全覆盖、无死角、不遗漏。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5.开展湿地保护专项行动，加强湿地保护宣传工作。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五、主要经验及做法、存在的问题及原因分析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强化制度执行力为关键，提升湿地保护效能。一是开展双随机一公开监督检查，坚决制止随意侵占和破坏湿地行为，随机抽查丰城、高安湿地斑块40处，未发现非法违规问题。二是开展问题整改工作，持续加强对上高锦江省级湿地公园违规建筑的督察督办。三是开展湿地保护与修复工作，，以高安锦江国家湿地公园、丰城药湖国家湿地公园为重点，通过清淤、植绿等生态措施，累计修复湿地面积1.5万亩。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以湿地公园建设为重点，构建湿地生态保护体系。一是加强湿地公园管理。二是开展小微湿地调查。三是开展加强湿地保护小区建设。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“日周月”活动为契机，推进湿地管护社会化进程。一是开展宣传活动，结合“世界湿地日”“爱鸟周”“野生动物保护宣传月”等活动，密集宣传湿地、野生动物保护法律法规。二是畅通投诉渠道，通过官网及微信公众号及时公布了全市各地保护湿地候鸟举报电话，畅通群众投诉举报渠道，认真倾听合理诉求。三是回应群众关切，组织召开新闻发布会，通过发布信息、接受媒体采访等各类方式，详细介绍湿地野生动物管控成效、具体举措等，积极主动回应热点问题，形成了全社会群护群治的浓厚氛围。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迅速响应为先导，扎实部署野生动物保护工作。疫情发生后，我市根据国家林草局和省林业局的决策部署，立即下发了《关于禁止野生动物交易的紧急通知》，修订了《宜春市重大野生动物疫源疫病防治应急预案》。严格禁止任何形式的野生动物（含人工驯养繁殖的野生动物）交易行为，对野生动物人工驯养繁殖场所、野生动物园、宠物市场等实行严格的隔离封闭措施。对候鸟、鸟道及野生动物观测点进行重点巡护监测，并加强森林公园、湿地公园等林业重点区域监管，避免人员聚集。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科学处置在养动物为基础，积极帮扶养殖户转产转业。一是科学界定禁食野生动物范围，科学区分家禽家畜、水生动物、陆生动物。二是妥善处置在养野生动物，根据不同野生动物生态习性，按照转非食用性合法利用、委托代养、放归自然、无害化处理四种方式开展处置，确保不造成生态危害。三是全力做好扶持工作。一方面建立禁食人工繁育野生动物养殖户转型转产情况周调度机制；另一方面全面完成野生动物养殖户扶持资金发放工作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六、有关建议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1.进一步强化湿地保护管理。严守全市湿地面积保有量红线，严格控制工程建设占用湿地行为，切实加强湿地保护与恢复，确保湿地面积不减少，功能不降低。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2.进一步开展保护专项行动。广泛发动各方力量，继续开展自然保护区、湿地、野生动物保护专项行动，严厉打击布网、投毒等非法猎捕和交易野生动物行为，坚决遏制开垦、占用等破坏湿地、自然保护区问题。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3.进一步加强宣传引导。进一步丰富宣传载体，创新宣传形式，让保护声音进村入户。主动加强与新闻媒体沟通，积极争取媒体支持，强化舆情处置，树立正面舆论导向。</w:t>
      </w:r>
    </w:p>
    <w:p>
      <w:pPr>
        <w:pStyle w:val="7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七、其他需要说明的问题</w:t>
      </w:r>
    </w:p>
    <w:p>
      <w:pPr>
        <w:pStyle w:val="7"/>
        <w:ind w:left="0" w:leftChars="0" w:firstLine="0" w:firstLineChars="0"/>
        <w:rPr>
          <w:rFonts w:hint="default" w:ascii="宋体" w:hAnsi="宋体" w:eastAsia="仿宋_GB2312" w:cs="宋体"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highlight w:val="none"/>
          <w:lang w:val="en-US" w:eastAsia="zh-CN"/>
        </w:rPr>
        <w:t xml:space="preserve">  无。</w:t>
      </w:r>
    </w:p>
    <w:p>
      <w:pPr>
        <w:spacing w:line="20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部门评价表</w:t>
      </w:r>
    </w:p>
    <w:p>
      <w:pPr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8"/>
        <w:tblpPr w:leftFromText="180" w:rightFromText="180" w:vertAnchor="text" w:horzAnchor="page" w:tblpXSpec="center" w:tblpY="3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344"/>
        <w:gridCol w:w="17"/>
        <w:gridCol w:w="497"/>
        <w:gridCol w:w="419"/>
        <w:gridCol w:w="703"/>
        <w:gridCol w:w="354"/>
        <w:gridCol w:w="215"/>
        <w:gridCol w:w="759"/>
        <w:gridCol w:w="231"/>
        <w:gridCol w:w="1034"/>
        <w:gridCol w:w="665"/>
        <w:gridCol w:w="337"/>
        <w:gridCol w:w="381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92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项目名称：</w:t>
            </w:r>
          </w:p>
        </w:tc>
        <w:tc>
          <w:tcPr>
            <w:tcW w:w="6822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自然保护地及野生动植物保护救助工作经费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92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宜春市林业局</w:t>
            </w:r>
          </w:p>
        </w:tc>
        <w:tc>
          <w:tcPr>
            <w:tcW w:w="324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项目实施单位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宜春市林业局本级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92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周激浪</w:t>
            </w:r>
          </w:p>
        </w:tc>
        <w:tc>
          <w:tcPr>
            <w:tcW w:w="324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0795-3225294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92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项目类型</w:t>
            </w:r>
          </w:p>
        </w:tc>
        <w:tc>
          <w:tcPr>
            <w:tcW w:w="6822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经常性项目（   ）       一次性项目（ </w:t>
            </w:r>
            <w:r>
              <w:rPr>
                <w:rFonts w:hint="eastAsia" w:ascii="宋体" w:hAnsi="宋体"/>
                <w:szCs w:val="21"/>
                <w:lang w:eastAsia="zh-CN"/>
              </w:rPr>
              <w:t>√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00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计划投资额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63.00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实际到位资金（万元）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63.00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实际使用情况（万元）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92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其中：中央财政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其中：中央财政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92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省财政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省财政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92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市县财政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63.00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市县财政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63.00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92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92" w:hRule="atLeast"/>
          <w:jc w:val="center"/>
        </w:trPr>
        <w:tc>
          <w:tcPr>
            <w:tcW w:w="8680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二、</w:t>
            </w:r>
            <w:r>
              <w:rPr>
                <w:rFonts w:hint="eastAsia" w:ascii="宋体" w:hAnsi="宋体"/>
                <w:b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一级指标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分值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二级指标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分值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三级指标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分值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6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决策</w:t>
            </w:r>
          </w:p>
        </w:tc>
        <w:tc>
          <w:tcPr>
            <w:tcW w:w="916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1272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项目立项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立项依据充分性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立项程序规范性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绩效目标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绩效目标合理性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绩效指标明确性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资金投入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预算编制科学性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资金分配合理性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36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过程</w:t>
            </w: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资金管理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资金到位率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预算执行率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资金管理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资金使用合规性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组织实施　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管理制度健全性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制度执行有效性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5" w:hRule="atLeast"/>
          <w:jc w:val="center"/>
        </w:trPr>
        <w:tc>
          <w:tcPr>
            <w:tcW w:w="136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产出</w:t>
            </w:r>
          </w:p>
        </w:tc>
        <w:tc>
          <w:tcPr>
            <w:tcW w:w="916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</w:t>
            </w:r>
          </w:p>
        </w:tc>
        <w:tc>
          <w:tcPr>
            <w:tcW w:w="1272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产出数量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野生动物保护联合执法案件数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</w:pPr>
          </w:p>
        </w:tc>
        <w:tc>
          <w:tcPr>
            <w:tcW w:w="1272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督查任务完成率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产出质量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湿地生态</w:t>
            </w:r>
            <w:r>
              <w:rPr>
                <w:rFonts w:hint="eastAsia" w:ascii="宋体" w:hAnsi="宋体"/>
                <w:szCs w:val="21"/>
                <w:lang w:eastAsia="zh-CN"/>
              </w:rPr>
              <w:t>巡护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6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</w:pPr>
          </w:p>
        </w:tc>
        <w:tc>
          <w:tcPr>
            <w:tcW w:w="1272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严控野生动物疫源疫病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6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杜绝出现严重破坏野生动植物资源的违法行为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2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产出时效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按季节特点开展野生动植物保护执法行动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0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产出成本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严格控制成本 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0" w:hRule="atLeast"/>
          <w:jc w:val="center"/>
        </w:trPr>
        <w:tc>
          <w:tcPr>
            <w:tcW w:w="136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</w:t>
            </w: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挽回自然资源损失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0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社会效益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增加就业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5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环境效益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生态系统稳定 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2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可持续影响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自然资源可持续利用状况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满意度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社会公众或服务对象满意度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总分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100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100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100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评价等次</w:t>
            </w:r>
          </w:p>
        </w:tc>
        <w:tc>
          <w:tcPr>
            <w:tcW w:w="7336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良□       中 □       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36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100-90（含）分为优、90-80（含）分为良、80-60（含）分为中、60分以下为差</w:t>
            </w:r>
          </w:p>
        </w:tc>
      </w:tr>
    </w:tbl>
    <w:p>
      <w:pPr>
        <w:rPr>
          <w:rFonts w:hint="eastAsia" w:eastAsia="楷体_GB2312"/>
          <w:sz w:val="32"/>
          <w:szCs w:val="32"/>
        </w:rPr>
      </w:pPr>
      <w:r>
        <w:rPr>
          <w:rFonts w:hint="eastAsia" w:ascii="仿宋" w:hAnsi="仿宋" w:eastAsia="仿宋" w:cs="仿宋"/>
          <w:spacing w:val="-11"/>
        </w:rPr>
        <w:t>注：指标可参考财政部《项目支出绩效评价管理办法》中附件2：《项目支出绩效评价指标体系框架》设置。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- 16 -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2112C"/>
    <w:rsid w:val="30BE7EDE"/>
    <w:rsid w:val="3232112C"/>
    <w:rsid w:val="3CF67A13"/>
    <w:rsid w:val="4D1226C9"/>
    <w:rsid w:val="511D718F"/>
    <w:rsid w:val="524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/>
    </w:rPr>
  </w:style>
  <w:style w:type="paragraph" w:styleId="3">
    <w:name w:val="Body Text Indent"/>
    <w:basedOn w:val="1"/>
    <w:qFormat/>
    <w:uiPriority w:val="0"/>
    <w:pPr>
      <w:spacing w:line="580" w:lineRule="exact"/>
      <w:ind w:firstLine="600"/>
    </w:pPr>
    <w:rPr>
      <w:rFonts w:ascii="仿宋_GB2312" w:eastAsia="仿宋_GB2312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3104</Words>
  <Characters>3197</Characters>
  <Lines>0</Lines>
  <Paragraphs>0</Paragraphs>
  <TotalTime>6</TotalTime>
  <ScaleCrop>false</ScaleCrop>
  <LinksUpToDate>false</LinksUpToDate>
  <CharactersWithSpaces>3401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2022-03-25T04:15:00Z</dcterms:created>
  <dc:creator>璐lulala.</dc:creator>
  <cp:lastModifiedBy>璐lulala.</cp:lastModifiedBy>
  <cp:lastPrinted>2022-03-29T01:26:26Z</cp:lastPrinted>
  <dcterms:modified xsi:type="dcterms:W3CDTF">2022-03-29T01:26:36Z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FE0B5BEA1807401C88B421579145B72D</vt:lpwstr>
  </property>
</Properties>
</file>